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/>
          <w:sz w:val="18"/>
          <w:szCs w:val="18"/>
          <w:lang w:eastAsia="hr-HR"/>
        </w:rPr>
        <w:t xml:space="preserve">                             </w:t>
      </w:r>
      <w:r>
        <w:rPr/>
        <w:drawing>
          <wp:inline distT="0" distB="0" distL="0" distR="0">
            <wp:extent cx="466725" cy="568960"/>
            <wp:effectExtent l="0" t="0" r="0" b="0"/>
            <wp:docPr id="1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Liberation Serif" w:hAnsi="Liberation Serif" w:cs="Times New Roman"/>
          <w:b/>
          <w:bCs/>
          <w:sz w:val="24"/>
          <w:szCs w:val="24"/>
          <w:lang w:eastAsia="hr-HR"/>
        </w:rPr>
      </w:pPr>
      <w:r>
        <w:rPr>
          <w:rFonts w:cs="Times New Roman"/>
          <w:b/>
          <w:bCs/>
          <w:sz w:val="24"/>
          <w:szCs w:val="24"/>
          <w:lang w:eastAsia="hr-HR"/>
        </w:rPr>
        <w:t xml:space="preserve">     </w:t>
      </w:r>
      <w:r>
        <w:rPr>
          <w:rFonts w:cs="Times New Roman"/>
          <w:b/>
          <w:bCs/>
          <w:sz w:val="24"/>
          <w:szCs w:val="24"/>
          <w:lang w:eastAsia="hr-HR"/>
        </w:rPr>
        <w:t>REPUBLIKA HRVATSKA</w:t>
      </w:r>
    </w:p>
    <w:p>
      <w:pPr>
        <w:pStyle w:val="Normal"/>
        <w:bidi w:val="0"/>
        <w:jc w:val="left"/>
        <w:rPr>
          <w:rFonts w:ascii="Liberation Serif" w:hAnsi="Liberation Serif" w:cs="Times New Roman"/>
          <w:b/>
          <w:bCs/>
          <w:sz w:val="24"/>
          <w:szCs w:val="24"/>
          <w:lang w:eastAsia="hr-HR"/>
        </w:rPr>
      </w:pPr>
      <w:r>
        <w:rPr>
          <w:rFonts w:cs="Times New Roman"/>
          <w:b/>
          <w:bCs/>
          <w:sz w:val="24"/>
          <w:szCs w:val="24"/>
          <w:lang w:eastAsia="hr-HR"/>
        </w:rPr>
        <w:t>OSJEČKO-BARANJSKA ŽUPANIJA</w:t>
      </w:r>
    </w:p>
    <w:p>
      <w:pPr>
        <w:pStyle w:val="Normal"/>
        <w:bidi w:val="0"/>
        <w:jc w:val="left"/>
        <w:rPr>
          <w:rFonts w:ascii="Liberation Serif" w:hAnsi="Liberation Serif"/>
          <w:b/>
          <w:bCs/>
        </w:rPr>
      </w:pPr>
      <w:r>
        <w:rPr>
          <w:rFonts w:cs="Times New Roman"/>
          <w:b/>
          <w:bCs/>
          <w:sz w:val="24"/>
          <w:szCs w:val="24"/>
          <w:lang w:eastAsia="hr-HR"/>
        </w:rPr>
        <w:t xml:space="preserve">         </w:t>
      </w:r>
      <w:r>
        <w:rPr>
          <w:rFonts w:cs="Times New Roman"/>
          <w:b/>
          <w:bCs/>
          <w:sz w:val="24"/>
          <w:szCs w:val="24"/>
          <w:lang w:eastAsia="hr-HR"/>
        </w:rPr>
        <w:t>OPĆINA MARIJANCI</w:t>
      </w:r>
    </w:p>
    <w:p>
      <w:pPr>
        <w:pStyle w:val="Normal"/>
        <w:bidi w:val="0"/>
        <w:jc w:val="left"/>
        <w:rPr>
          <w:rFonts w:ascii="Liberation Serif" w:hAnsi="Liberation Serif" w:cs="Times New Roman"/>
          <w:sz w:val="24"/>
          <w:szCs w:val="24"/>
          <w:lang w:eastAsia="hr-HR"/>
        </w:rPr>
      </w:pPr>
      <w:r>
        <w:rPr>
          <w:rFonts w:cs="Times New Roman"/>
          <w:sz w:val="24"/>
          <w:szCs w:val="24"/>
          <w:lang w:eastAsia="hr-HR"/>
        </w:rPr>
        <w:t xml:space="preserve">        </w:t>
      </w:r>
      <w:r>
        <w:rPr>
          <w:rFonts w:cs="Times New Roman"/>
          <w:sz w:val="24"/>
          <w:szCs w:val="24"/>
          <w:lang w:eastAsia="hr-HR"/>
        </w:rPr>
        <w:t>OPĆINSKO VIJEĆE</w:t>
      </w:r>
    </w:p>
    <w:p>
      <w:pPr>
        <w:pStyle w:val="Normal"/>
        <w:bidi w:val="0"/>
        <w:jc w:val="left"/>
        <w:rPr>
          <w:rFonts w:ascii="Liberation Serif" w:hAnsi="Liberation Serif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</w:r>
    </w:p>
    <w:p>
      <w:pPr>
        <w:pStyle w:val="Normal"/>
        <w:bidi w:val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KLASA: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URBROJ: </w:t>
        <w:br/>
        <w:t xml:space="preserve">U Marijancima, </w:t>
      </w:r>
    </w:p>
    <w:p>
      <w:pPr>
        <w:pStyle w:val="Normal"/>
        <w:bidi w:val="0"/>
        <w:jc w:val="left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  <w:t>Na temelju članka 20. i 42. Zakona o lokalnim porezima („Narodne novine” br. 115/16, 101/17, 114/22 i 114/23), i članka 32. Statuta Općine Marijanci („Službeni glasnik Općine Marijanci” br. 1/2018, 2/2021), Općinsko vijeće Općine Marijanci na _. sjednici održanoj _. prosinca 2023. godine, donosi: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/>
          <w:bCs/>
          <w:sz w:val="24"/>
          <w:szCs w:val="24"/>
        </w:rPr>
      </w:pPr>
      <w:r>
        <w:rPr>
          <w:rFonts w:cs="Liberation Serif;Times New Roman"/>
          <w:b/>
          <w:bCs/>
          <w:sz w:val="24"/>
          <w:szCs w:val="24"/>
        </w:rPr>
        <w:t>ODLUKU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/>
          <w:bCs/>
          <w:sz w:val="24"/>
          <w:szCs w:val="24"/>
        </w:rPr>
      </w:pPr>
      <w:r>
        <w:rPr>
          <w:rFonts w:cs="Liberation Serif;Times New Roman"/>
          <w:b/>
          <w:bCs/>
          <w:sz w:val="24"/>
          <w:szCs w:val="24"/>
        </w:rPr>
        <w:t>o lokalnim porezima Općine Marijanci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/>
          <w:bCs/>
          <w:sz w:val="24"/>
          <w:szCs w:val="24"/>
        </w:rPr>
      </w:pPr>
      <w:r>
        <w:rPr>
          <w:rFonts w:cs="Liberation Serif;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  <w:t>Članak 1.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Cs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 xml:space="preserve">Ovom odlukom utvrđuju se </w:t>
      </w:r>
      <w:r>
        <w:rPr>
          <w:rFonts w:cs="Liberation Serif;Times New Roman"/>
          <w:b w:val="false"/>
          <w:bCs w:val="false"/>
          <w:sz w:val="24"/>
          <w:szCs w:val="24"/>
        </w:rPr>
        <w:t>lokalni</w:t>
      </w:r>
      <w:r>
        <w:rPr>
          <w:rFonts w:cs="Liberation Serif;Times New Roman"/>
          <w:b w:val="false"/>
          <w:bCs w:val="false"/>
          <w:sz w:val="24"/>
          <w:szCs w:val="24"/>
        </w:rPr>
        <w:t xml:space="preserve"> porezi koji pripadaju Općini Marijanci, obveznici plaćanja, stope i visine poreza, te način obračuna i plaćanja u skladu sa Zakonom o lokalnim porezima (u daljnjem tekstu: Zakon)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Članak 2.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Pojedini pojmovi u smislu ove Odluke imaju značenja koja su definirana Zakonom.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Izrazi koji se koriste u ovoj Odluci, a imaju rodno značenje koriste se neutralno i odnose se jednako na muški i ženski rod.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rFonts w:cs="Liberation Serif;Times New Roman"/>
          <w:b w:val="false"/>
          <w:bCs w:val="false"/>
          <w:sz w:val="24"/>
          <w:szCs w:val="24"/>
        </w:rPr>
        <w:t>II. VRSTE POREZA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Članak 3.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Porezi Općine Marijanci su: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1. Porez na potrošnju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trike w:val="false"/>
          <w:dstrike w:val="false"/>
          <w:sz w:val="24"/>
          <w:szCs w:val="24"/>
        </w:rPr>
        <w:t>2. Porez na nekretnine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3. Porez na korištenje javnih površina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rFonts w:cs="Liberation Serif;Times New Roman"/>
          <w:b/>
          <w:bCs/>
          <w:i/>
          <w:iCs/>
          <w:sz w:val="24"/>
          <w:szCs w:val="24"/>
        </w:rPr>
        <w:t>1. Porez na potrošnju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/>
          <w:i/>
          <w:iCs/>
          <w:sz w:val="24"/>
          <w:szCs w:val="24"/>
        </w:rPr>
      </w:pPr>
      <w:r>
        <w:rPr>
          <w:rFonts w:cs="Liberation Serif;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Članak 4.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>Porez na potrošnju plaća se na potrošnju alkoholnih pića (vinjak, rakija i žestoka pića), prirodnih vina, specijalnih vina, piva i bezalkoholnih pića u ugostiteljskim objektima, a koji se nalaze na području Općine Marijanci.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5.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Obveznik poreza na potrošnju je pravna i fizička osoba koja pruža ugostiteljske usluge na području Općine Marijanci.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6.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Osnovicu poreza na potrošnju čini prodajna cijena pića po kojoj se piće proda u ugostiteljskim objektima, bez poreza na dodanu vrijednost.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Članak 7.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 xml:space="preserve">Porez na potrošnju plaća se po stopi od </w:t>
      </w:r>
      <w:r>
        <w:rPr>
          <w:rFonts w:cs="Liberation Serif;Times New Roman"/>
          <w:b/>
          <w:bCs/>
          <w:sz w:val="24"/>
          <w:szCs w:val="24"/>
        </w:rPr>
        <w:t>3%</w:t>
      </w:r>
      <w:r>
        <w:rPr>
          <w:rFonts w:cs="Liberation Serif;Times New Roman"/>
          <w:b w:val="false"/>
          <w:bCs w:val="false"/>
          <w:sz w:val="24"/>
          <w:szCs w:val="24"/>
        </w:rPr>
        <w:t xml:space="preserve"> od utvrđene osnovice iz članka 6. ove Odluke.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Utvrđenu obvezu poreza na potrošnju porezni obveznik iskazuje na obrascu PP-MI-PO i predaje ga do 20. dana u mjesecu za prethodni mjesec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Utvrđenu poreznu obvezu porezni obveznik dužan je platiti do posljednjeg dana u mjesecu za prethodni mjesec.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Porez na potrošnju prihod je Općine Marijanci.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rFonts w:cs="Liberation Serif;Times New Roman"/>
          <w:b/>
          <w:bCs/>
          <w:i/>
          <w:iCs/>
          <w:sz w:val="24"/>
          <w:szCs w:val="24"/>
        </w:rPr>
        <w:t>2. Porez na nekretnine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/>
          <w:i/>
          <w:iCs/>
          <w:sz w:val="24"/>
          <w:szCs w:val="24"/>
        </w:rPr>
      </w:pPr>
      <w:r>
        <w:rPr>
          <w:rFonts w:cs="Liberation Serif;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  <w:t>Članak 8.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  <w:t>Porez na nekretnine plaćaju domaće i strane, pravne i fizičke osobe koje su vlasnici nekretnina na dan 31. ožujka godine za koju se utvrđuje porez.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  <w:t>Iznimno od stavka 1. ovoga članka, ako se ne može utvrditi vlasnik, porez na nekretnine plaća korisnik nekretnine određen prema odredbama propisa kojim se uređuje komunalno gospodarstvo.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  <w:t>Za novoizgrađene nekretnine obveza plaćanja poreza na nekretnine nastaje danom izvršnosti uporabne dozvole godine za koju se utvrđuje porez odnosno danom početka korištenja nekretnine koja se koristi bez uporabne dozvole.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  <w:t>Članak 9.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  <w:t xml:space="preserve">Porez na nekretnine na području Općine Marijanci utvrđuje se u iznosu od </w:t>
      </w:r>
      <w:r>
        <w:rPr>
          <w:b/>
          <w:bCs/>
        </w:rPr>
        <w:t>0,60 eur/m</w:t>
      </w:r>
      <w:r>
        <w:rPr>
          <w:b/>
          <w:bCs/>
          <w:vertAlign w:val="superscript"/>
        </w:rPr>
        <w:t>2</w:t>
      </w:r>
      <w:r>
        <w:rPr>
          <w:position w:val="0"/>
          <w:sz w:val="24"/>
          <w:sz w:val="24"/>
          <w:vertAlign w:val="baseline"/>
        </w:rPr>
        <w:t xml:space="preserve"> </w:t>
      </w:r>
      <w:r>
        <w:rPr>
          <w:rFonts w:ascii="Minion Pro Cond;serif" w:hAnsi="Minion Pro Cond;serif"/>
          <w:b w:val="false"/>
          <w:i w:val="false"/>
          <w:caps w:val="false"/>
          <w:smallCaps w:val="false"/>
          <w:color w:val="231F20"/>
          <w:spacing w:val="0"/>
          <w:sz w:val="24"/>
        </w:rPr>
        <w:t>korisne površine nekretnine, određene propisom kojim se uređuju uvjeti i mjerila za izračun zaštićene najamnine.</w:t>
      </w:r>
      <w:r>
        <w:rPr/>
        <w:t xml:space="preserve"> 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  <w:t>Članak 10.</w:t>
      </w:r>
    </w:p>
    <w:p>
      <w:pPr>
        <w:pStyle w:val="Normal"/>
        <w:bidi w:val="0"/>
        <w:jc w:val="center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BodyText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31F20"/>
          <w:spacing w:val="0"/>
          <w:sz w:val="24"/>
          <w:szCs w:val="24"/>
          <w:u w:val="none"/>
          <w:effect w:val="none"/>
        </w:rPr>
        <w:t>Porez na nekretnine ne plaća se na nekretnine: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1. koje služe za stalno stanovanje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2. koje se iznajmljuju na temelju ugovora o najmu za stalno stanovanje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3. javne namjene i nekretnine namijenjene institucionalnom smještaju osoba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4. koje se u poslovnim knjigama trgovačkih društava vode kao nekretnine namijenjene prodaji, ako je od dana unosa u poslovne knjige do 31. ožujka godine za koju se utvrđuje porez proteklo manje od šest mjeseci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5. preuzete u zamjenu za nenaplaćena potraživanja, ako je od dana preuzimanja do 31. ožujka godine za koju se utvrđuje porez proteklo manje od šest mjeseci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6. koje zbog proglašenja prirodnih nepogoda u određenom poreznom razdoblju nisu podobne kao stambeni prostor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7. u slučajevima kada se iz svih okolnosti može utvrditi da je onemogućena stambena namjena nekretnine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8. u vlasništvu jedinica lokalne samouprave koje se nalaze isključivo na teritoriju te jedinice lokalne samouprave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9. koje domaćinu određenom prema propisu kojim se uređuje ugostiteljska djelatnost služe za stalno stanovanje.</w:t>
      </w:r>
    </w:p>
    <w:p>
      <w:pPr>
        <w:pStyle w:val="Normal"/>
        <w:bidi w:val="0"/>
        <w:jc w:val="left"/>
        <w:rPr>
          <w:rFonts w:ascii="Liberation Serif" w:hAnsi="Liberation Serif" w:cs="Liberation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Liberation Serif;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  <w:t>Članak 11.</w:t>
      </w:r>
    </w:p>
    <w:p>
      <w:pPr>
        <w:pStyle w:val="Normal"/>
        <w:bidi w:val="0"/>
        <w:spacing w:lineRule="auto" w:line="240"/>
        <w:jc w:val="center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cs="Liberation Serif;Times New Roman" w:ascii="Minion Pro Cond;serif" w:hAnsi="Minion Pro Cond;serif"/>
          <w:b w:val="false"/>
          <w:bCs w:val="false"/>
          <w:i w:val="false"/>
          <w:caps w:val="false"/>
          <w:smallCaps w:val="false"/>
          <w:color w:val="231F20"/>
          <w:spacing w:val="0"/>
          <w:sz w:val="24"/>
          <w:szCs w:val="24"/>
        </w:rPr>
        <w:t>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za oslobođenje od plaćanja poreza na nekretnine iz članka</w:t>
      </w:r>
      <w:r>
        <w:rPr>
          <w:rFonts w:cs="Liberation Serif;Times New Roman"/>
          <w:b w:val="false"/>
          <w:bCs w:val="false"/>
          <w:sz w:val="24"/>
          <w:szCs w:val="24"/>
        </w:rPr>
        <w:t xml:space="preserve"> 10. ove Odluke.</w:t>
      </w:r>
    </w:p>
    <w:p>
      <w:pPr>
        <w:pStyle w:val="BodyText"/>
        <w:bidi w:val="0"/>
        <w:spacing w:lineRule="auto" w:line="24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szCs w:val="24"/>
          <w:u w:val="none"/>
          <w:effect w:val="none"/>
        </w:rPr>
        <w:t>Porezno tijelo donosi rješenje o porezu na nekretnine za svaku kalendarsku godinu prema stanju, namjeni i vlasništvu nekretnine utvrđenima na dan 31. ožujka godine za koju se utvrđuje porez.</w:t>
      </w: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Iznimno od stavka 1. ovoga članka, porezno tijelo neće donositi rješenje o porezu na nekretnine u slučaju kada se poreznog obveznika oslobađa od obveze poreza na nekretnine.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Promjene koje nastanu tijekom godine, a od utjecaja su na utvrđivanje porezne obveze, primjenjuju se od sljedeće kalendarske godine.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Porez na nekretnine plaća se u roku od 15 dana od dana dostave rješenja o utvrđivanju poreza.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Žalba izjavljena na rješenje o utvrđivanju poreza na nekretnine ne odgađa izvršenje rješenja.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 w:cs="Liberation Serif;Times New Roman"/>
          <w:b w:val="false"/>
          <w:bCs w:val="false"/>
          <w:sz w:val="24"/>
          <w:szCs w:val="24"/>
        </w:rPr>
      </w:pPr>
      <w:r>
        <w:rPr>
          <w:rFonts w:cs="Liberation Serif;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/>
        <w:t>Članak 12.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BodyText"/>
        <w:bidi w:val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2"/>
          <w:u w:val="none"/>
          <w:effect w:val="none"/>
        </w:rPr>
        <w:t>Porez na nekretnine lokalni je porez čiji se prihod dijeli: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1. 80 % udio jedinice lokalne samouprave na čijem se području nekretnina nalazi</w:t>
      </w:r>
    </w:p>
    <w:p>
      <w:pPr>
        <w:pStyle w:val="BodyText"/>
        <w:widowControl/>
        <w:spacing w:lineRule="auto" w:line="252" w:before="0" w:after="0"/>
        <w:ind w:hanging="0" w:left="0" w:right="0"/>
        <w:jc w:val="left"/>
        <w:rPr>
          <w:rFonts w:ascii="Minion Pro Cond;serif" w:hAnsi="Minion Pro Cond;serif"/>
          <w:b w:val="false"/>
          <w:i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</w:pPr>
      <w:r>
        <w:rPr>
          <w:rFonts w:ascii="Minion Pro Cond;serif" w:hAnsi="Minion Pro Cond;serif"/>
          <w:b w:val="false"/>
          <w:i w:val="false"/>
          <w:caps w:val="false"/>
          <w:smallCaps w:val="false"/>
          <w:strike w:val="false"/>
          <w:dstrike w:val="false"/>
          <w:color w:val="231F20"/>
          <w:spacing w:val="0"/>
          <w:sz w:val="24"/>
          <w:u w:val="none"/>
          <w:effect w:val="none"/>
        </w:rPr>
        <w:t>2. 20 % udio jedinice područne (regionalne) samouprave na čijem se području nekretnina nalazi.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i/>
          <w:iCs/>
        </w:rPr>
        <w:t>3. Porez na korištenje javnih površina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13.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Obveznik poreza na korištenje javnih površina je pravna i fizička osoba koja koristi javne površine na području Općine Marijanci (pločnike, zelene površine i sl.).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14.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Porez na korištenje javnih površina plaća se u iznosim kako slijedi: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•     </w:t>
      </w:r>
      <w:r>
        <w:rPr/>
        <w:t xml:space="preserve">za postavljanje kioska i montažnih objekata – </w:t>
      </w:r>
      <w:r>
        <w:rPr>
          <w:b/>
          <w:bCs/>
        </w:rPr>
        <w:t>66,40</w:t>
      </w:r>
      <w:r>
        <w:rPr/>
        <w:t xml:space="preserve"> eura mjesečno,</w:t>
      </w:r>
    </w:p>
    <w:p>
      <w:pPr>
        <w:pStyle w:val="Normal"/>
        <w:bidi w:val="0"/>
        <w:jc w:val="left"/>
        <w:rPr/>
      </w:pPr>
      <w:r>
        <w:rPr/>
        <w:t xml:space="preserve">•     </w:t>
      </w:r>
      <w:r>
        <w:rPr/>
        <w:t xml:space="preserve">za postavljanje pokretnih naprava za prodaju plodina – </w:t>
      </w:r>
      <w:r>
        <w:rPr>
          <w:b/>
          <w:bCs/>
        </w:rPr>
        <w:t>13,30</w:t>
      </w:r>
      <w:r>
        <w:rPr/>
        <w:t xml:space="preserve"> eura mjesečno,</w:t>
      </w:r>
    </w:p>
    <w:p>
      <w:pPr>
        <w:pStyle w:val="Normal"/>
        <w:bidi w:val="0"/>
        <w:jc w:val="left"/>
        <w:rPr/>
      </w:pPr>
      <w:r>
        <w:rPr/>
        <w:t xml:space="preserve">•     </w:t>
      </w:r>
      <w:r>
        <w:rPr/>
        <w:t>za postavljanje pokretnih naprava za pružanje ugostiteljskih usluga i trgovina</w:t>
        <w:tab/>
        <w:t xml:space="preserve"> - </w:t>
      </w:r>
      <w:r>
        <w:rPr>
          <w:b/>
          <w:bCs/>
        </w:rPr>
        <w:t>26,60</w:t>
      </w:r>
      <w:r>
        <w:rPr/>
        <w:t xml:space="preserve"> eura mjesečno,</w:t>
      </w:r>
    </w:p>
    <w:p>
      <w:pPr>
        <w:pStyle w:val="Normal"/>
        <w:bidi w:val="0"/>
        <w:jc w:val="left"/>
        <w:rPr/>
      </w:pPr>
      <w:r>
        <w:rPr/>
        <w:t xml:space="preserve">•     </w:t>
      </w:r>
      <w:r>
        <w:rPr/>
        <w:t xml:space="preserve">ugostiteljski vrtovi i terase – </w:t>
      </w:r>
      <w:r>
        <w:rPr>
          <w:b/>
          <w:bCs/>
        </w:rPr>
        <w:t xml:space="preserve">0,40 </w:t>
      </w:r>
      <w:r>
        <w:rPr/>
        <w:t>eura/m² mjesečno,</w:t>
      </w:r>
    </w:p>
    <w:p>
      <w:pPr>
        <w:pStyle w:val="Normal"/>
        <w:bidi w:val="0"/>
        <w:jc w:val="left"/>
        <w:rPr/>
      </w:pPr>
      <w:r>
        <w:rPr/>
        <w:t xml:space="preserve">•     </w:t>
      </w:r>
      <w:r>
        <w:rPr/>
        <w:t>postavljanje cirkusnih šatora, zabavnih parkova</w:t>
        <w:tab/>
        <w:t xml:space="preserve"> - </w:t>
      </w:r>
      <w:r>
        <w:rPr>
          <w:b/>
          <w:bCs/>
        </w:rPr>
        <w:t>0,70</w:t>
      </w:r>
      <w:r>
        <w:rPr/>
        <w:t xml:space="preserve"> eura/m² mjesečno.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Porez na korištenje javnih površina za postavljanje reklamnih panoa plaća se godišnje kako slijedi: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reklamni pano do 2 m² – </w:t>
      </w:r>
      <w:r>
        <w:rPr>
          <w:b/>
          <w:bCs/>
        </w:rPr>
        <w:t>26,60</w:t>
      </w:r>
      <w:r>
        <w:rPr/>
        <w:t xml:space="preserve"> eur,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reklamni pano veći od 2 m² – </w:t>
      </w:r>
      <w:r>
        <w:rPr>
          <w:b/>
          <w:bCs/>
        </w:rPr>
        <w:t>40,00</w:t>
      </w:r>
      <w:r>
        <w:rPr/>
        <w:t xml:space="preserve"> eur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16.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Obveznici poreza na korištenje javnih površina za postavljanje štandova za prodaju robe prigodne za dane blagdana (Nova godina, Božić, blagdan Svih svetih, Uskrs, crkveni godovi i sl.) plaćaju porez na korištenje javne površine u iznosu od </w:t>
      </w:r>
      <w:r>
        <w:rPr>
          <w:b/>
          <w:bCs/>
        </w:rPr>
        <w:t>1,50</w:t>
      </w:r>
      <w:r>
        <w:rPr/>
        <w:t xml:space="preserve"> eur/m² dnevno.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17.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Od plaćanja poreza na korištenje javnih površina izuzimaju se aktivnosti za humanitarnu, kulturnu, sportsku, prosvjetno-edukativnu djelatnost i zdravstvene usluge, te ostale manifestacije koje su u interesu promocije Općine Marijanci.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18.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Jedinstveni upravni odjel Općine Marijanci izdaje rješenje o odobrenju korištenja javnih površina, te ga prosljeđuje Poreznoj upravi.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III. PROVEDBENE ODREDBE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19.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Poslovi utvrđivanja, evidentiranja, nadzora, naplate i ovrhe radi naplate svih općinskih poreza iz članka 3. ove Odluke prenose se na Ministarstvo financija – Poreznu upravu, u skladu s odredbama Zakona i Suglasnosti Ministarstva financija.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Poreznoj upravi za obavljanje poslova iz stavka 1. ovog članka pripada naknada u iznosu </w:t>
      </w:r>
      <w:r>
        <w:rPr>
          <w:b/>
          <w:bCs/>
        </w:rPr>
        <w:t>5%</w:t>
      </w:r>
      <w:r>
        <w:rPr/>
        <w:t xml:space="preserve"> od ukupno naplaćenih prihoda.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Porezna uprava je dužna do 15. u mjesecu za prethodni mjesec, Općini Marijanci dostavljati izvješća o utvrđenim i naplaćenim porezima.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Ovlašćuje se nadležna organizacija platnog prometa zadužena za raspoređivanje uplaćenih prihoda korisnicima, da naknadu koja pripada Ministarstvu financija, Poreznoj upravi obračuna i uplati u državni proračun i to do zadnjeg dana u mjesecu za protekli mjesec.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IV. PRIJELAZNE I ZAVRŠNE ODREDBE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20.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Kaznene i prekršajne odredbe te odredbe o zastari, obnovi postupka i žalbenom postupku propisane Zakonom o porezu na dohodak i Zakonom o lokalnim porezima jednako se primjenjuju i za poreze propisane ovom Odlukom.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21.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Postupci utvrđivanja poreza započeti po odredbama Odluke o općinskim porezima Općine Marijanci („Službeni glasnik Općine Marijanci broj 10/2023”)  koji nisu dovršeni do stupanja na snagu ove Odluke, dovršiti će se prema odredbama Odluke o općinskim porezima Općine Marijanci („Službeni glasnik Općine Marijanci broj 10/2023”).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22.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Stupanjem na snagu ove Odluke prestaje važiti Odluka o općinskim porezima Općine Marijanci („Službeni glasnik Općine Marijanci broj 10/2023”).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Članak 23.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rFonts w:ascii="LiberationSerif-Bold" w:hAnsi="LiberationSerif-Bold"/>
          <w:sz w:val="20"/>
        </w:rPr>
      </w:pPr>
      <w:r>
        <w:rPr>
          <w:rFonts w:ascii="LiberationSerif" w:hAnsi="LiberationSerif"/>
          <w:sz w:val="24"/>
        </w:rPr>
        <w:t>Ova Odluka stupa na snagu osmog dana od dana objave u „Službenom glasniku Općine Marijanci”.</w:t>
      </w:r>
    </w:p>
    <w:p>
      <w:pPr>
        <w:pStyle w:val="Normal"/>
        <w:bidi w:val="0"/>
        <w:jc w:val="lef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lef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b/>
          <w:bCs/>
        </w:rPr>
      </w:pPr>
      <w:r>
        <w:rPr>
          <w:rFonts w:ascii="LiberationSerif" w:hAnsi="LiberationSerif"/>
          <w:b/>
          <w:bCs/>
          <w:sz w:val="24"/>
        </w:rPr>
        <w:t>PREDSJEDNIK OPĆINSKOG VIJEĆA</w:t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" w:hAnsi="LiberationSerif"/>
          <w:sz w:val="24"/>
        </w:rPr>
        <w:t>Ivan Mesaroš, mag.oec., v.r.</w:t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righ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center"/>
        <w:rPr/>
      </w:pPr>
      <w:r>
        <w:rPr>
          <w:rFonts w:ascii="LiberationSerif" w:hAnsi="LiberationSerif"/>
          <w:sz w:val="24"/>
        </w:rPr>
        <w:t>OBRAZLOŽENJE</w:t>
      </w:r>
    </w:p>
    <w:p>
      <w:pPr>
        <w:pStyle w:val="Normal"/>
        <w:bidi w:val="0"/>
        <w:jc w:val="center"/>
        <w:rPr>
          <w:rFonts w:ascii="LiberationSerif" w:hAnsi="LiberationSerif"/>
          <w:sz w:val="24"/>
        </w:rPr>
      </w:pPr>
      <w:r>
        <w:rPr>
          <w:rFonts w:ascii="LiberationSerif" w:hAnsi="LiberationSerif"/>
          <w:sz w:val="24"/>
        </w:rPr>
      </w:r>
    </w:p>
    <w:p>
      <w:pPr>
        <w:pStyle w:val="Normal"/>
        <w:jc w:val="both"/>
        <w:rPr>
          <w:rFonts w:eastAsia="Calibri" w:cs="Arial" w:cstheme="minorHAnsi"/>
          <w:kern w:val="2"/>
          <w14:ligatures w14:val="standardContextual"/>
        </w:rPr>
      </w:pPr>
      <w:r>
        <w:rPr>
          <w:rFonts w:eastAsia="Calibri" w:cs="Arial" w:ascii="LiberationSerif" w:hAnsi="LiberationSerif" w:cstheme="minorHAnsi"/>
          <w:kern w:val="2"/>
          <w:sz w:val="24"/>
          <w14:ligatures w14:val="standardContextual"/>
        </w:rPr>
        <w:t xml:space="preserve">Hrvatski sabor je dana 13. prosinca 2024. godine donio Zakon o izmjenama i dopuni Zakona o lokalnim porezima (NN 152/2024) kojim se umjesto dosadašnjeg poreza na kuće za odmor uvodi porez na nekretnine. Jedinice lokalne samouprave </w:t>
      </w:r>
      <w:r>
        <w:rPr>
          <w:rFonts w:eastAsia="Calibri" w:cs="Arial" w:ascii="LiberationSerif" w:hAnsi="LiberationSerif" w:cstheme="minorHAnsi"/>
          <w:b/>
          <w:bCs/>
          <w:kern w:val="2"/>
          <w:sz w:val="24"/>
          <w:u w:val="single"/>
          <w14:ligatures w14:val="standardContextual"/>
        </w:rPr>
        <w:t>dužne su uvesti porez na nekretnine</w:t>
      </w:r>
      <w:r>
        <w:rPr>
          <w:rFonts w:eastAsia="Calibri" w:cs="Arial" w:ascii="LiberationSerif" w:hAnsi="LiberationSerif" w:cstheme="minorHAnsi"/>
          <w:kern w:val="2"/>
          <w:sz w:val="24"/>
          <w14:ligatures w14:val="standardContextual"/>
        </w:rPr>
        <w:t xml:space="preserve"> a mogu uvesti porez na potrošnju i porez na korištenje javnih površina. </w:t>
      </w:r>
    </w:p>
    <w:p>
      <w:pPr>
        <w:pStyle w:val="Normal"/>
        <w:jc w:val="both"/>
        <w:rPr>
          <w:rFonts w:eastAsia="Calibri" w:cs="Arial" w:cstheme="minorHAnsi"/>
          <w:kern w:val="2"/>
          <w14:ligatures w14:val="standardContextual"/>
        </w:rPr>
      </w:pPr>
      <w:r>
        <w:rPr>
          <w:rFonts w:eastAsia="Calibri" w:cs="Arial" w:ascii="LiberationSerif" w:hAnsi="LiberationSerif" w:cstheme="minorHAnsi"/>
          <w:kern w:val="2"/>
          <w:sz w:val="24"/>
          <w14:ligatures w14:val="standardContextual"/>
        </w:rPr>
        <w:t>S obzirom na obvezu uvođenja poreza na nekretnine, predlaže se uvođenje najmanje propisanog iznosa , a to je 0,60 eur po m2.</w:t>
      </w:r>
    </w:p>
    <w:p>
      <w:pPr>
        <w:pStyle w:val="Normal"/>
        <w:bidi w:val="0"/>
        <w:jc w:val="lef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left"/>
        <w:rPr>
          <w:rFonts w:ascii="LiberationSerif-Bold" w:hAnsi="LiberationSerif-Bold"/>
          <w:sz w:val="20"/>
        </w:rPr>
      </w:pPr>
      <w:r>
        <w:rPr>
          <w:rFonts w:ascii="LiberationSerif-Bold" w:hAnsi="LiberationSerif-Bold"/>
          <w:sz w:val="20"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inion Pro Cond">
    <w:altName w:val="serif"/>
    <w:charset w:val="ee"/>
    <w:family w:val="roman"/>
    <w:pitch w:val="variable"/>
  </w:font>
  <w:font w:name="LiberationSerif">
    <w:altName w:val="Times New Roman"/>
    <w:charset w:val="ee"/>
    <w:family w:val="roman"/>
    <w:pitch w:val="variable"/>
  </w:font>
  <w:font w:name="LiberationSerif-Bold"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LibreOffice/24.8.4.2$Windows_X86_64 LibreOffice_project/bb3cfa12c7b1bf994ecc5649a80400d06cd71002</Application>
  <AppVersion>15.0000</AppVersion>
  <Pages>6</Pages>
  <Words>1336</Words>
  <Characters>7533</Characters>
  <CharactersWithSpaces>8849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2025-01-23T13:16:05Z</dcterms:created>
  <dc:creator/>
  <dc:description/>
  <dc:language>hr-HR</dc:language>
  <cp:lastModifiedBy/>
  <dcterms:modified xsi:type="dcterms:W3CDTF">2025-01-31T09:53:02Z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